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53" w:rsidRPr="00165A3A" w:rsidRDefault="00625D53" w:rsidP="00625D53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A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165A3A">
        <w:rPr>
          <w:rFonts w:ascii="Times New Roman" w:hAnsi="Times New Roman" w:cs="Times New Roman"/>
          <w:b/>
          <w:sz w:val="24"/>
          <w:szCs w:val="24"/>
        </w:rPr>
        <w:t>План анализа внешней политики страны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25D53" w:rsidRPr="00165A3A" w:rsidRDefault="00625D53" w:rsidP="00625D5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1. Положение страны на международной арене.</w:t>
      </w:r>
    </w:p>
    <w:p w:rsidR="00625D53" w:rsidRPr="00165A3A" w:rsidRDefault="00625D53" w:rsidP="00625D5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2. Цели и приоритеты внешней политики государства.</w:t>
      </w:r>
    </w:p>
    <w:p w:rsidR="00625D53" w:rsidRPr="00165A3A" w:rsidRDefault="00625D53" w:rsidP="00625D5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3. Основные направления внешней политики, их результаты за определенный промежуток времени.</w:t>
      </w:r>
    </w:p>
    <w:p w:rsidR="00625D53" w:rsidRPr="00165A3A" w:rsidRDefault="00625D53" w:rsidP="00625D5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4. Влияние внутриполитических сил на внешнюю политику государства. Влиятельные (ключевые) фигуры в истории внешней политики государства в определенный период времени.</w:t>
      </w:r>
    </w:p>
    <w:p w:rsidR="00625D53" w:rsidRDefault="00625D53" w:rsidP="00625D5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A3A">
        <w:rPr>
          <w:rFonts w:ascii="Times New Roman" w:hAnsi="Times New Roman" w:cs="Times New Roman"/>
          <w:sz w:val="24"/>
          <w:szCs w:val="24"/>
        </w:rPr>
        <w:t>5. Влияние внешнеполитической деятельности на внутреннее положение в стране.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53"/>
    <w:rsid w:val="00552399"/>
    <w:rsid w:val="006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E916"/>
  <w15:chartTrackingRefBased/>
  <w15:docId w15:val="{6931344A-D502-4738-8B6C-E94EF01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2020-04-02T17:20:00Z</dcterms:created>
  <dcterms:modified xsi:type="dcterms:W3CDTF">2020-04-02T17:21:00Z</dcterms:modified>
</cp:coreProperties>
</file>